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Paulina Siwik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Marta Elżbieta Kawa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Magdalena Łukasik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Renata Maria Łepska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Marcin Michał Zabłocki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Michał Paweł Pleśniak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Stanisław Karol Sendor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Tadeusz Kępa</w:t>
                  </w:r>
                </w:p>
                <w:p>
                  <w:pPr>
                    <w:pStyle w:val="style0"/>
                    <w:spacing w:after="240" w:before="0"/>
                  </w:pPr>
                  <w:bookmarkStart w:id="2" w:name="_GoBack2"/>
                  <w:bookmarkEnd w:id="2"/>
                  <w:r>
                    <w:rPr>
                      <w:sz w:val="28"/>
                      <w:szCs w:val="28"/>
                    </w:rPr>
                    <w:t>Andrzej Piotr Płucienniczak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