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4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Szymon Jakub Mitak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Jan Grynienko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Szymon Krzysztof Hefka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Marlena Renata Kiwior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Aleksandra Anna Prusko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Ines Huanita Lorek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Weronika Julia Przyszlakiewicz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